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45BD6" w14:textId="0BDF3307" w:rsidR="00CD4C7B" w:rsidRPr="00D60380" w:rsidRDefault="00CD4C7B" w:rsidP="00CD4C7B">
      <w:pPr>
        <w:pStyle w:val="Header"/>
        <w:tabs>
          <w:tab w:val="right" w:pos="9639"/>
        </w:tabs>
        <w:rPr>
          <w:bCs/>
          <w:i/>
          <w:noProof w:val="0"/>
          <w:sz w:val="24"/>
          <w:szCs w:val="24"/>
          <w:lang w:val="en-US"/>
        </w:rPr>
      </w:pPr>
      <w:bookmarkStart w:id="0" w:name="_GoBack"/>
      <w:bookmarkEnd w:id="0"/>
      <w:r w:rsidRPr="00D60380">
        <w:rPr>
          <w:bCs/>
          <w:noProof w:val="0"/>
          <w:sz w:val="24"/>
          <w:szCs w:val="24"/>
          <w:lang w:val="en-US"/>
        </w:rPr>
        <w:t>3GPP T</w:t>
      </w:r>
      <w:bookmarkStart w:id="1" w:name="_Ref452454252"/>
      <w:bookmarkEnd w:id="1"/>
      <w:r w:rsidRPr="00D60380">
        <w:rPr>
          <w:bCs/>
          <w:noProof w:val="0"/>
          <w:sz w:val="24"/>
          <w:szCs w:val="24"/>
          <w:lang w:val="en-US"/>
        </w:rPr>
        <w:t xml:space="preserve">SG-RAN </w:t>
      </w:r>
      <w:r w:rsidR="00BD703C" w:rsidRPr="00D60380">
        <w:rPr>
          <w:noProof w:val="0"/>
          <w:sz w:val="24"/>
          <w:szCs w:val="24"/>
          <w:lang w:val="en-US"/>
        </w:rPr>
        <w:t>#</w:t>
      </w:r>
      <w:r w:rsidR="000E4942">
        <w:rPr>
          <w:noProof w:val="0"/>
          <w:sz w:val="24"/>
          <w:szCs w:val="24"/>
          <w:lang w:val="en-US"/>
        </w:rPr>
        <w:t>79</w:t>
      </w:r>
      <w:r w:rsidRPr="00D60380">
        <w:rPr>
          <w:bCs/>
          <w:noProof w:val="0"/>
          <w:sz w:val="24"/>
          <w:szCs w:val="24"/>
          <w:lang w:val="en-US"/>
        </w:rPr>
        <w:tab/>
      </w:r>
      <w:r w:rsidRPr="00D60380">
        <w:rPr>
          <w:rFonts w:hint="eastAsia"/>
          <w:bCs/>
          <w:noProof w:val="0"/>
          <w:sz w:val="24"/>
          <w:szCs w:val="24"/>
          <w:lang w:val="en-US"/>
        </w:rPr>
        <w:t>R</w:t>
      </w:r>
      <w:r w:rsidR="00021324">
        <w:rPr>
          <w:bCs/>
          <w:noProof w:val="0"/>
          <w:sz w:val="24"/>
          <w:szCs w:val="24"/>
          <w:lang w:val="en-US"/>
        </w:rPr>
        <w:t>P</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061542">
        <w:rPr>
          <w:bCs/>
          <w:noProof w:val="0"/>
          <w:sz w:val="24"/>
          <w:szCs w:val="24"/>
          <w:lang w:val="en-US"/>
        </w:rPr>
        <w:t>0535</w:t>
      </w:r>
    </w:p>
    <w:p w14:paraId="079402C1" w14:textId="77777777" w:rsidR="00CD4C7B" w:rsidRPr="00BD703C" w:rsidRDefault="00973F77" w:rsidP="00CD4C7B">
      <w:pPr>
        <w:pStyle w:val="Header"/>
        <w:tabs>
          <w:tab w:val="right" w:pos="9639"/>
        </w:tabs>
        <w:rPr>
          <w:bCs/>
          <w:noProof w:val="0"/>
          <w:sz w:val="24"/>
          <w:szCs w:val="24"/>
          <w:lang w:val="en-US"/>
        </w:rPr>
      </w:pPr>
      <w:r>
        <w:rPr>
          <w:rFonts w:eastAsia="SimSun"/>
          <w:noProof w:val="0"/>
          <w:sz w:val="24"/>
          <w:szCs w:val="24"/>
          <w:lang w:val="en-US" w:eastAsia="zh-CN"/>
        </w:rPr>
        <w:t>Chennai</w:t>
      </w:r>
      <w:r w:rsidR="00C24650" w:rsidRPr="00BD703C">
        <w:rPr>
          <w:rFonts w:eastAsia="SimSun"/>
          <w:noProof w:val="0"/>
          <w:sz w:val="24"/>
          <w:szCs w:val="24"/>
          <w:lang w:val="en-US" w:eastAsia="zh-CN"/>
        </w:rPr>
        <w:t xml:space="preserve">, </w:t>
      </w:r>
      <w:r>
        <w:rPr>
          <w:rFonts w:eastAsia="SimSun"/>
          <w:noProof w:val="0"/>
          <w:sz w:val="24"/>
          <w:szCs w:val="24"/>
          <w:lang w:val="en-US" w:eastAsia="zh-CN"/>
        </w:rPr>
        <w:t>India</w:t>
      </w:r>
      <w:r w:rsidR="00C24650" w:rsidRPr="00BD703C">
        <w:rPr>
          <w:rFonts w:eastAsia="SimSun"/>
          <w:noProof w:val="0"/>
          <w:sz w:val="24"/>
          <w:szCs w:val="24"/>
          <w:lang w:val="en-US" w:eastAsia="zh-CN"/>
        </w:rPr>
        <w:t xml:space="preserve">, </w:t>
      </w:r>
      <w:r>
        <w:rPr>
          <w:rFonts w:eastAsia="SimSun"/>
          <w:noProof w:val="0"/>
          <w:sz w:val="24"/>
          <w:szCs w:val="24"/>
          <w:lang w:val="en-US" w:eastAsia="zh-CN"/>
        </w:rPr>
        <w:t>19</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22</w:t>
      </w:r>
      <w:r w:rsidR="00D60380">
        <w:rPr>
          <w:rFonts w:eastAsia="SimSun"/>
          <w:noProof w:val="0"/>
          <w:sz w:val="24"/>
          <w:szCs w:val="24"/>
          <w:lang w:val="en-US" w:eastAsia="zh-CN"/>
        </w:rPr>
        <w:t xml:space="preserve"> </w:t>
      </w:r>
      <w:r w:rsidR="00062706">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14:paraId="543A49B4" w14:textId="77777777" w:rsidR="00CD4C7B" w:rsidRPr="00BD703C" w:rsidRDefault="00CD4C7B" w:rsidP="00CD4C7B">
      <w:pPr>
        <w:pStyle w:val="Header"/>
        <w:rPr>
          <w:bCs/>
          <w:noProof w:val="0"/>
          <w:sz w:val="24"/>
          <w:lang w:val="en-US"/>
        </w:rPr>
      </w:pPr>
    </w:p>
    <w:p w14:paraId="5B2A62F1" w14:textId="77777777" w:rsidR="00CD4C7B" w:rsidRPr="00BD703C" w:rsidRDefault="00CD4C7B" w:rsidP="00CD4C7B">
      <w:pPr>
        <w:pStyle w:val="Header"/>
        <w:rPr>
          <w:bCs/>
          <w:noProof w:val="0"/>
          <w:sz w:val="24"/>
          <w:lang w:val="en-US"/>
        </w:rPr>
      </w:pPr>
    </w:p>
    <w:p w14:paraId="0422AE9E" w14:textId="77777777"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CF3CF9">
        <w:rPr>
          <w:rFonts w:cs="Arial"/>
          <w:b/>
          <w:bCs/>
          <w:sz w:val="24"/>
          <w:lang w:val="en-US" w:eastAsia="ja-JP"/>
        </w:rPr>
        <w:t>9.2.1.1</w:t>
      </w:r>
    </w:p>
    <w:p w14:paraId="41918890" w14:textId="046959E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D126F" w:rsidRPr="00B704B9">
        <w:rPr>
          <w:rFonts w:ascii="Arial" w:hAnsi="Arial" w:cs="Arial"/>
          <w:b/>
          <w:bCs/>
          <w:sz w:val="24"/>
        </w:rPr>
        <w:t>Nokia,</w:t>
      </w:r>
      <w:r w:rsidR="00ED126F">
        <w:rPr>
          <w:rFonts w:ascii="Arial" w:hAnsi="Arial" w:cs="Arial"/>
          <w:b/>
          <w:bCs/>
          <w:sz w:val="24"/>
        </w:rPr>
        <w:t xml:space="preserve"> </w:t>
      </w:r>
      <w:r w:rsidR="00ED126F">
        <w:rPr>
          <w:rFonts w:ascii="Arial" w:hAnsi="Arial" w:cs="Arial" w:hint="eastAsia"/>
          <w:b/>
          <w:bCs/>
          <w:sz w:val="24"/>
          <w:lang w:eastAsia="ja-JP"/>
        </w:rPr>
        <w:t>Nokia</w:t>
      </w:r>
      <w:r w:rsidR="00ED126F">
        <w:rPr>
          <w:rFonts w:ascii="Arial" w:hAnsi="Arial" w:cs="Arial"/>
          <w:b/>
          <w:bCs/>
          <w:sz w:val="24"/>
          <w:lang w:eastAsia="ja-JP"/>
        </w:rPr>
        <w:t xml:space="preserve"> </w:t>
      </w:r>
      <w:r w:rsidR="00ED126F" w:rsidRPr="00B704B9">
        <w:rPr>
          <w:rFonts w:ascii="Arial" w:hAnsi="Arial" w:cs="Arial"/>
          <w:b/>
          <w:bCs/>
          <w:sz w:val="24"/>
        </w:rPr>
        <w:t>Shanghai Bell</w:t>
      </w:r>
    </w:p>
    <w:p w14:paraId="0730D9C0" w14:textId="0E0846A4"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57E0A">
        <w:rPr>
          <w:rFonts w:ascii="Arial" w:hAnsi="Arial" w:cs="Arial"/>
          <w:b/>
          <w:bCs/>
          <w:sz w:val="24"/>
        </w:rPr>
        <w:t>W</w:t>
      </w:r>
      <w:r w:rsidR="00ED126F">
        <w:rPr>
          <w:rFonts w:ascii="Arial" w:hAnsi="Arial" w:cs="Arial"/>
          <w:b/>
          <w:bCs/>
          <w:sz w:val="24"/>
        </w:rPr>
        <w:t>ay forward on secured signalling only connection</w:t>
      </w:r>
    </w:p>
    <w:p w14:paraId="781E61A1"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94573F" w14:textId="77777777" w:rsidR="00605C1D" w:rsidRPr="00B266B0" w:rsidRDefault="00605C1D" w:rsidP="00CD4C7B">
      <w:pPr>
        <w:tabs>
          <w:tab w:val="left" w:pos="1985"/>
        </w:tabs>
        <w:rPr>
          <w:rFonts w:ascii="Arial" w:hAnsi="Arial" w:cs="Arial"/>
          <w:b/>
          <w:bCs/>
          <w:sz w:val="24"/>
        </w:rPr>
      </w:pPr>
    </w:p>
    <w:p w14:paraId="15E3EC2C" w14:textId="77777777" w:rsidR="00CD4C7B" w:rsidRPr="006E13D1" w:rsidRDefault="00CD4C7B" w:rsidP="00CD4C7B">
      <w:pPr>
        <w:pStyle w:val="Heading1"/>
      </w:pPr>
      <w:r w:rsidRPr="006E13D1">
        <w:t>1</w:t>
      </w:r>
      <w:r w:rsidRPr="006E13D1">
        <w:tab/>
      </w:r>
      <w:r w:rsidR="00605C1D">
        <w:t>Introduction</w:t>
      </w:r>
    </w:p>
    <w:p w14:paraId="59CBD082" w14:textId="35102EFF" w:rsidR="007268EF" w:rsidRDefault="007206F6" w:rsidP="00ED126F">
      <w:r>
        <w:t>In RP-180</w:t>
      </w:r>
      <w:r w:rsidR="00ED126F">
        <w:t xml:space="preserve">509 stated </w:t>
      </w:r>
      <w:r w:rsidR="00242057">
        <w:t xml:space="preserve">some </w:t>
      </w:r>
      <w:r w:rsidR="006E61E4">
        <w:t>views on secured signalling only connection</w:t>
      </w:r>
      <w:r w:rsidR="00ED126F">
        <w:t xml:space="preserve">. This paper provides </w:t>
      </w:r>
      <w:r w:rsidR="00242057">
        <w:t>further discussion</w:t>
      </w:r>
      <w:r w:rsidR="00ED126F">
        <w:t xml:space="preserve"> and propose</w:t>
      </w:r>
      <w:r w:rsidR="00242057">
        <w:t>s</w:t>
      </w:r>
      <w:r w:rsidR="00ED126F">
        <w:t xml:space="preserve"> the way forward. </w:t>
      </w:r>
    </w:p>
    <w:p w14:paraId="7B0AF9AB" w14:textId="3A8F1DE3" w:rsidR="00605C1D" w:rsidRDefault="00605C1D" w:rsidP="00605C1D">
      <w:pPr>
        <w:pStyle w:val="Heading1"/>
      </w:pPr>
      <w:r>
        <w:t>2</w:t>
      </w:r>
      <w:r w:rsidRPr="006E13D1">
        <w:tab/>
      </w:r>
      <w:r>
        <w:t>Description</w:t>
      </w:r>
    </w:p>
    <w:p w14:paraId="0C113DB9" w14:textId="30AA7687" w:rsidR="00ED126F" w:rsidRDefault="00ED126F" w:rsidP="007206F6">
      <w:r>
        <w:t>RP-180509 argues SA3 LS, and concluded the following.</w:t>
      </w:r>
    </w:p>
    <w:p w14:paraId="2C790518" w14:textId="77777777" w:rsidR="00ED126F" w:rsidRPr="00ED126F" w:rsidRDefault="00ED126F" w:rsidP="00ED126F">
      <w:pPr>
        <w:ind w:firstLine="284"/>
        <w:rPr>
          <w:b/>
          <w:i/>
        </w:rPr>
      </w:pPr>
      <w:r w:rsidRPr="00ED126F">
        <w:rPr>
          <w:b/>
          <w:i/>
        </w:rPr>
        <w:t>Conclusion 1: There is no confirmed requirement on securing signalling connections, as stated in S3-180986</w:t>
      </w:r>
    </w:p>
    <w:p w14:paraId="4F714B76" w14:textId="69FF1D04" w:rsidR="00ED126F" w:rsidRDefault="00ED126F" w:rsidP="00ED126F">
      <w:pPr>
        <w:spacing w:after="0"/>
      </w:pPr>
      <w:r>
        <w:t>For this part, as already clarified in RP-180429,</w:t>
      </w:r>
      <w:r w:rsidRPr="00ED126F">
        <w:t xml:space="preserve"> </w:t>
      </w:r>
      <w:r>
        <w:t>SA3 has just sent questions about these scenarios and we expect SA2 to clarify them as per the annex. The SA3 LS should not be interpreted as challenging SA2 work. Furthermore, SA2 specifications require support for “signalling only connection” and this is the default mode supported as 5GS Registration procedure does not support piggy backing of PDU session request to establish user plane connections. D</w:t>
      </w:r>
      <w:r w:rsidRPr="00987ADE">
        <w:t xml:space="preserve">uring SA3 Conference call (eMeeting held recently), they have </w:t>
      </w:r>
      <w:r>
        <w:t xml:space="preserve">also </w:t>
      </w:r>
      <w:r w:rsidRPr="00987ADE">
        <w:t xml:space="preserve">agreed to LS out in </w:t>
      </w:r>
      <w:hyperlink r:id="rId7" w:history="1">
        <w:r w:rsidRPr="00E30441">
          <w:rPr>
            <w:b/>
            <w:bCs/>
            <w:color w:val="0000FF"/>
            <w:u w:val="single"/>
            <w:lang w:val="en-US" w:bidi="ml-IN"/>
          </w:rPr>
          <w:t>S3c0011</w:t>
        </w:r>
      </w:hyperlink>
      <w:r>
        <w:t xml:space="preserve"> that refers to 2 solution options: </w:t>
      </w:r>
    </w:p>
    <w:p w14:paraId="4868BB6B" w14:textId="77777777" w:rsidR="00ED126F" w:rsidRPr="00E91990" w:rsidRDefault="00ED126F" w:rsidP="00ED126F">
      <w:pPr>
        <w:pStyle w:val="CRCoverPage"/>
        <w:spacing w:after="0"/>
        <w:rPr>
          <w:rFonts w:ascii="Times New Roman" w:hAnsi="Times New Roman"/>
          <w:i/>
        </w:rPr>
      </w:pPr>
    </w:p>
    <w:p w14:paraId="74EAD1A2" w14:textId="77777777" w:rsidR="00ED126F" w:rsidRPr="00FC3C02" w:rsidRDefault="00ED126F" w:rsidP="00ED126F">
      <w:pPr>
        <w:pStyle w:val="CRCoverPage"/>
        <w:numPr>
          <w:ilvl w:val="0"/>
          <w:numId w:val="12"/>
        </w:numPr>
        <w:spacing w:after="0"/>
        <w:ind w:left="644"/>
        <w:rPr>
          <w:rFonts w:ascii="Times New Roman" w:hAnsi="Times New Roman"/>
        </w:rPr>
      </w:pPr>
      <w:r w:rsidRPr="00FC3C02">
        <w:rPr>
          <w:rFonts w:ascii="Times New Roman" w:hAnsi="Times New Roman"/>
        </w:rPr>
        <w:t>Solution 1: Calculate a NAS key from the NAS context and further calculate an integrity key at the eNB using this key to protect the redirection parameters. The solution is described in the attachment S3-17c0006.</w:t>
      </w:r>
    </w:p>
    <w:p w14:paraId="6F7924EA" w14:textId="77777777" w:rsidR="00ED126F" w:rsidRPr="00FC3C02" w:rsidRDefault="00ED126F" w:rsidP="00ED126F">
      <w:pPr>
        <w:pStyle w:val="CRCoverPage"/>
        <w:spacing w:after="0"/>
        <w:ind w:left="644"/>
        <w:rPr>
          <w:rFonts w:ascii="Times New Roman" w:hAnsi="Times New Roman"/>
        </w:rPr>
      </w:pPr>
    </w:p>
    <w:p w14:paraId="158A28F6" w14:textId="77777777" w:rsidR="00ED126F" w:rsidRPr="00FC3C02" w:rsidRDefault="00ED126F" w:rsidP="00ED126F">
      <w:pPr>
        <w:pStyle w:val="CRCoverPage"/>
        <w:numPr>
          <w:ilvl w:val="0"/>
          <w:numId w:val="12"/>
        </w:numPr>
        <w:spacing w:after="0"/>
        <w:ind w:left="644"/>
        <w:rPr>
          <w:rFonts w:ascii="Times New Roman" w:hAnsi="Times New Roman"/>
        </w:rPr>
      </w:pPr>
      <w:r w:rsidRPr="00FC3C02">
        <w:rPr>
          <w:rFonts w:ascii="Times New Roman" w:hAnsi="Times New Roman"/>
        </w:rPr>
        <w:t>Solution 2: Establish regular AS context between the UE and the eNB and then issue the secured redirect command to the UE.</w:t>
      </w:r>
    </w:p>
    <w:p w14:paraId="705213E5" w14:textId="77777777" w:rsidR="00ED126F" w:rsidRPr="00F56786" w:rsidRDefault="00ED126F" w:rsidP="00ED126F">
      <w:pPr>
        <w:pStyle w:val="CRCoverPage"/>
        <w:spacing w:after="0"/>
        <w:ind w:left="420"/>
        <w:rPr>
          <w:rFonts w:ascii="Times New Roman" w:hAnsi="Times New Roman"/>
        </w:rPr>
      </w:pPr>
    </w:p>
    <w:p w14:paraId="17D230AE" w14:textId="48E7B132" w:rsidR="00ED126F" w:rsidRPr="00F56786" w:rsidRDefault="00ED126F" w:rsidP="00ED126F">
      <w:pPr>
        <w:pStyle w:val="CRCoverPage"/>
        <w:spacing w:after="0"/>
        <w:ind w:left="60"/>
        <w:rPr>
          <w:rFonts w:ascii="Times New Roman" w:hAnsi="Times New Roman"/>
        </w:rPr>
      </w:pPr>
      <w:r>
        <w:rPr>
          <w:rFonts w:ascii="Times New Roman" w:hAnsi="Times New Roman"/>
        </w:rPr>
        <w:t>Depending on their agreement,</w:t>
      </w:r>
      <w:r w:rsidRPr="00F56786">
        <w:rPr>
          <w:rFonts w:ascii="Times New Roman" w:hAnsi="Times New Roman"/>
        </w:rPr>
        <w:t xml:space="preserve"> </w:t>
      </w:r>
      <w:r>
        <w:rPr>
          <w:rFonts w:ascii="Times New Roman" w:hAnsi="Times New Roman"/>
        </w:rPr>
        <w:t xml:space="preserve">we believe that </w:t>
      </w:r>
      <w:r w:rsidRPr="00F56786">
        <w:rPr>
          <w:rFonts w:ascii="Times New Roman" w:hAnsi="Times New Roman"/>
        </w:rPr>
        <w:t>solution should be adopted also for 5GS to avoid insecure redirection.</w:t>
      </w:r>
      <w:r>
        <w:rPr>
          <w:rFonts w:ascii="Times New Roman" w:hAnsi="Times New Roman"/>
        </w:rPr>
        <w:t xml:space="preserve"> </w:t>
      </w:r>
      <w:r w:rsidRPr="00ED126F">
        <w:rPr>
          <w:rFonts w:ascii="Times New Roman" w:hAnsi="Times New Roman"/>
          <w:highlight w:val="yellow"/>
        </w:rPr>
        <w:t>Therefore, conclusion</w:t>
      </w:r>
      <w:r w:rsidR="006E61E4">
        <w:rPr>
          <w:rFonts w:ascii="Times New Roman" w:hAnsi="Times New Roman"/>
          <w:highlight w:val="yellow"/>
        </w:rPr>
        <w:t xml:space="preserve"> 1 above</w:t>
      </w:r>
      <w:r w:rsidRPr="00ED126F">
        <w:rPr>
          <w:rFonts w:ascii="Times New Roman" w:hAnsi="Times New Roman"/>
          <w:highlight w:val="yellow"/>
        </w:rPr>
        <w:t xml:space="preserve"> is not justified.</w:t>
      </w:r>
    </w:p>
    <w:p w14:paraId="75A239AE" w14:textId="174BFCCB" w:rsidR="00ED126F" w:rsidRDefault="00ED126F" w:rsidP="00ED126F"/>
    <w:p w14:paraId="06B6EA59" w14:textId="77777777" w:rsidR="00ED126F" w:rsidRDefault="00ED126F" w:rsidP="00ED126F">
      <w:r>
        <w:t>RP-180509 argues to use Initial RRC Message Transfer instead of UE Context Setup Request.</w:t>
      </w:r>
    </w:p>
    <w:p w14:paraId="5342B549" w14:textId="79BF62CE" w:rsidR="000D598A" w:rsidRPr="00ED126F" w:rsidRDefault="000D598A" w:rsidP="00ED126F">
      <w:pPr>
        <w:ind w:left="284"/>
        <w:rPr>
          <w:b/>
          <w:i/>
        </w:rPr>
      </w:pPr>
      <w:r w:rsidRPr="00ED126F">
        <w:rPr>
          <w:b/>
          <w:i/>
        </w:rPr>
        <w:t xml:space="preserve">Conclusion </w:t>
      </w:r>
      <w:r w:rsidR="009107EA" w:rsidRPr="00ED126F">
        <w:rPr>
          <w:b/>
          <w:i/>
        </w:rPr>
        <w:t>2</w:t>
      </w:r>
      <w:r w:rsidRPr="00ED126F">
        <w:rPr>
          <w:b/>
          <w:i/>
        </w:rPr>
        <w:t>: The F1: UE Context Setup Request is not needed to transfer SRB1 configuration from gNB-DU to gNB-CU. Instead, the F1: Initial RRC Message Transfer can be used</w:t>
      </w:r>
    </w:p>
    <w:p w14:paraId="0760A247" w14:textId="386D1E68" w:rsidR="00B561CA" w:rsidRDefault="00ED126F" w:rsidP="00E30441">
      <w:r w:rsidRPr="00ED126F">
        <w:t xml:space="preserve">This </w:t>
      </w:r>
      <w:r w:rsidR="00386EFB">
        <w:t>has</w:t>
      </w:r>
      <w:r w:rsidRPr="00ED126F">
        <w:t xml:space="preserve"> </w:t>
      </w:r>
      <w:r>
        <w:t xml:space="preserve">not </w:t>
      </w:r>
      <w:r w:rsidR="00386EFB">
        <w:t xml:space="preserve">been </w:t>
      </w:r>
      <w:r w:rsidRPr="00ED126F">
        <w:t>discussed in RAN3 at all. There are many open issues to use Initial RRC message transfer</w:t>
      </w:r>
      <w:r w:rsidR="00386EFB">
        <w:t xml:space="preserve"> in this manner</w:t>
      </w:r>
      <w:r w:rsidRPr="00ED126F">
        <w:t>. Secured siginalling con</w:t>
      </w:r>
      <w:r>
        <w:t>nection is different from legacy</w:t>
      </w:r>
      <w:r w:rsidRPr="00ED126F">
        <w:t xml:space="preserve"> S1 messages</w:t>
      </w:r>
      <w:r>
        <w:t xml:space="preserve"> like NAS message transfer</w:t>
      </w:r>
      <w:r w:rsidR="00386EFB">
        <w:t>. This is a “connection”</w:t>
      </w:r>
      <w:r w:rsidRPr="00ED126F">
        <w:t xml:space="preserve"> </w:t>
      </w:r>
      <w:r>
        <w:t>and</w:t>
      </w:r>
      <w:r w:rsidRPr="00ED126F">
        <w:t xml:space="preserve"> using RRC message transfer is not justified.</w:t>
      </w:r>
      <w:r>
        <w:t xml:space="preserve"> In addition, there is no confirmed way to release such connection without using UE Context Setup procedure.</w:t>
      </w:r>
    </w:p>
    <w:p w14:paraId="69E38904" w14:textId="7B85ACB8" w:rsidR="00B561CA" w:rsidRPr="00F56786" w:rsidRDefault="00B561CA" w:rsidP="00B561CA">
      <w:pPr>
        <w:pStyle w:val="CRCoverPage"/>
        <w:spacing w:after="0"/>
        <w:ind w:left="60"/>
        <w:rPr>
          <w:rFonts w:ascii="Times New Roman" w:hAnsi="Times New Roman"/>
        </w:rPr>
      </w:pPr>
      <w:r w:rsidRPr="00ED126F">
        <w:rPr>
          <w:rFonts w:ascii="Times New Roman" w:hAnsi="Times New Roman"/>
          <w:highlight w:val="yellow"/>
        </w:rPr>
        <w:t xml:space="preserve">Therefore, conclusion </w:t>
      </w:r>
      <w:r w:rsidR="006E61E4">
        <w:rPr>
          <w:rFonts w:ascii="Times New Roman" w:hAnsi="Times New Roman"/>
          <w:highlight w:val="yellow"/>
        </w:rPr>
        <w:t xml:space="preserve">2 above </w:t>
      </w:r>
      <w:r w:rsidRPr="00ED126F">
        <w:rPr>
          <w:rFonts w:ascii="Times New Roman" w:hAnsi="Times New Roman"/>
          <w:highlight w:val="yellow"/>
        </w:rPr>
        <w:t>is not justified.</w:t>
      </w:r>
    </w:p>
    <w:p w14:paraId="58951215" w14:textId="77777777" w:rsidR="00B561CA" w:rsidRDefault="00B561CA" w:rsidP="00E30441"/>
    <w:p w14:paraId="3CF8C2CB" w14:textId="3E3E6C4D" w:rsidR="00FD0D32" w:rsidRPr="00B561CA" w:rsidRDefault="00FD0D32" w:rsidP="00B561CA">
      <w:pPr>
        <w:ind w:left="284"/>
        <w:rPr>
          <w:b/>
          <w:i/>
        </w:rPr>
      </w:pPr>
      <w:r w:rsidRPr="00B561CA">
        <w:rPr>
          <w:b/>
          <w:i/>
        </w:rPr>
        <w:t xml:space="preserve">Conclusion </w:t>
      </w:r>
      <w:r w:rsidR="009107EA" w:rsidRPr="00B561CA">
        <w:rPr>
          <w:b/>
          <w:i/>
        </w:rPr>
        <w:t>3</w:t>
      </w:r>
      <w:r w:rsidRPr="00B561CA">
        <w:rPr>
          <w:b/>
          <w:i/>
        </w:rPr>
        <w:t>: there is no need to run the F1: UE context Setup procedures to secure SRB1 communication. This can be done by means of RRC Security Mode procedures and F1: RRC UL/DL Message Transfer procedures</w:t>
      </w:r>
    </w:p>
    <w:p w14:paraId="308B791B" w14:textId="7773297B" w:rsidR="00242057" w:rsidRPr="00242057" w:rsidRDefault="00242057" w:rsidP="00B561CA">
      <w:pPr>
        <w:ind w:left="284"/>
        <w:rPr>
          <w:i/>
        </w:rPr>
      </w:pPr>
      <w:r w:rsidRPr="00242057">
        <w:rPr>
          <w:i/>
        </w:rPr>
        <w:t>[…]</w:t>
      </w:r>
    </w:p>
    <w:p w14:paraId="6C74439C" w14:textId="77777777" w:rsidR="00242057" w:rsidRPr="00242057" w:rsidRDefault="00242057" w:rsidP="00242057">
      <w:pPr>
        <w:ind w:left="284"/>
        <w:rPr>
          <w:i/>
        </w:rPr>
      </w:pPr>
      <w:r w:rsidRPr="00242057">
        <w:rPr>
          <w:i/>
        </w:rPr>
        <w:lastRenderedPageBreak/>
        <w:t>It should be pointed out that the functions assigned to SRB2 (signalling RRC messages including logged measurement information, signalling NAS messages) are supported by SRB1. Namely, there is nothing that SRB2 does, which SRB1 cannot do.</w:t>
      </w:r>
    </w:p>
    <w:p w14:paraId="180B468D" w14:textId="4352A644" w:rsidR="00242057" w:rsidRPr="00242057" w:rsidRDefault="00242057" w:rsidP="00242057">
      <w:pPr>
        <w:ind w:left="284"/>
        <w:rPr>
          <w:i/>
        </w:rPr>
      </w:pPr>
      <w:r w:rsidRPr="00242057">
        <w:rPr>
          <w:i/>
        </w:rPr>
        <w:t>Therefore, there is no use case that can be identified for the establishment of SRB2 for signalling connections.</w:t>
      </w:r>
    </w:p>
    <w:p w14:paraId="2D895228" w14:textId="69CB1FAF" w:rsidR="00E3179A" w:rsidRPr="00B561CA" w:rsidRDefault="00E3179A" w:rsidP="00B561CA">
      <w:pPr>
        <w:ind w:left="284"/>
        <w:rPr>
          <w:b/>
          <w:i/>
        </w:rPr>
      </w:pPr>
      <w:r w:rsidRPr="00B561CA">
        <w:rPr>
          <w:b/>
          <w:i/>
        </w:rPr>
        <w:t xml:space="preserve">Conclusion </w:t>
      </w:r>
      <w:r w:rsidR="009107EA" w:rsidRPr="00B561CA">
        <w:rPr>
          <w:b/>
          <w:i/>
        </w:rPr>
        <w:t>4</w:t>
      </w:r>
      <w:r w:rsidRPr="00B561CA">
        <w:rPr>
          <w:b/>
          <w:i/>
        </w:rPr>
        <w:t xml:space="preserve">: There is no scenario that can be foreseen for establishment of signalling connections. This is proven by the fact that in LTE NB-IoT, Data over NAS (the most message-intense form of signalling connection) does not use SRB2. </w:t>
      </w:r>
    </w:p>
    <w:p w14:paraId="0A33BA90" w14:textId="0957158D" w:rsidR="00242057" w:rsidRDefault="00B561CA" w:rsidP="00242057">
      <w:r w:rsidRPr="00B561CA">
        <w:t xml:space="preserve">RAN3 agreed to convey Security Mode over UE Context Setup procedure as well. </w:t>
      </w:r>
      <w:r w:rsidR="00242057">
        <w:t>Therefore,</w:t>
      </w:r>
      <w:r w:rsidRPr="00B561CA">
        <w:t xml:space="preserve"> the argument on Conclusion 3 is not relevant.</w:t>
      </w:r>
      <w:r w:rsidR="00242057">
        <w:t xml:space="preserve"> Furthermore, </w:t>
      </w:r>
      <w:r w:rsidR="00242057" w:rsidRPr="00242057">
        <w:t xml:space="preserve">if </w:t>
      </w:r>
      <w:r w:rsidR="00242057">
        <w:t>we</w:t>
      </w:r>
      <w:r w:rsidR="00242057" w:rsidRPr="00242057">
        <w:t xml:space="preserve"> argue SRB1 </w:t>
      </w:r>
      <w:r w:rsidR="00242057">
        <w:t xml:space="preserve">can do </w:t>
      </w:r>
      <w:r w:rsidR="00242057" w:rsidRPr="00242057">
        <w:t>everything, then</w:t>
      </w:r>
      <w:r w:rsidR="00242057">
        <w:t xml:space="preserve"> this will break the general principle, i.e.,</w:t>
      </w:r>
      <w:r w:rsidR="00242057" w:rsidRPr="00242057">
        <w:t xml:space="preserve"> what is the purpose </w:t>
      </w:r>
      <w:r w:rsidR="00242057">
        <w:t>to have multiple bearer type</w:t>
      </w:r>
      <w:r w:rsidR="00242057" w:rsidRPr="00242057">
        <w:t xml:space="preserve"> in the first place. We can do everything over only one bearer</w:t>
      </w:r>
      <w:r w:rsidR="00242057">
        <w:t xml:space="preserve"> type</w:t>
      </w:r>
      <w:r w:rsidR="00242057" w:rsidRPr="00242057">
        <w:t xml:space="preserve"> and we don’t need SRB2 (even other type) at all. </w:t>
      </w:r>
      <w:r w:rsidR="00242057">
        <w:t>There are certain usecase to use SRB2. Therefore, it must allow to use SRB2 once AS security is activated. For example,</w:t>
      </w:r>
    </w:p>
    <w:p w14:paraId="7D88DE6E" w14:textId="77777777" w:rsidR="00242057" w:rsidRDefault="00242057" w:rsidP="00242057">
      <w:pPr>
        <w:ind w:left="284"/>
      </w:pPr>
      <w:r>
        <w:t>a) SRB2 is conventionally used for NAS signaling and SRB1 for RAN signaling. There is no need to break this.</w:t>
      </w:r>
    </w:p>
    <w:p w14:paraId="76336D93" w14:textId="6CE277CB" w:rsidR="00B561CA" w:rsidRDefault="00242057" w:rsidP="00242057">
      <w:pPr>
        <w:ind w:left="284"/>
      </w:pPr>
      <w:r>
        <w:t>b) If the UE has to send/receive SMS, it should be done over SRB2, not SRB1. There is no need to break this.</w:t>
      </w:r>
    </w:p>
    <w:p w14:paraId="471AA214" w14:textId="77777777" w:rsidR="00242057" w:rsidRDefault="00242057" w:rsidP="00242057">
      <w:pPr>
        <w:ind w:left="284"/>
      </w:pPr>
    </w:p>
    <w:p w14:paraId="4A1275E6" w14:textId="7816964C" w:rsidR="00B561CA" w:rsidRDefault="00B561CA" w:rsidP="00B561CA">
      <w:r>
        <w:t>There was also argument about SRB2</w:t>
      </w:r>
      <w:r w:rsidR="00242057">
        <w:t xml:space="preserve"> in RAN3 reflector</w:t>
      </w:r>
      <w:r>
        <w:t>. SRB2 is for RRC messages which include logged measurement information as well as for NAS messages, all using DCCH logical channel. SRB2 has a lower-priority than SRB1 and is always configured by E-UTRAN after security activation. SRB2 is not applicable for NB-IoT.</w:t>
      </w:r>
    </w:p>
    <w:p w14:paraId="17E8DF12" w14:textId="741B8F53" w:rsidR="00B561CA" w:rsidRDefault="00B561CA" w:rsidP="00B561CA">
      <w:r>
        <w:t>Therefore, if AMF allows to send Initial UE Context Setup Request message to NG-RAN without PDU session, but included the Security information, then the CU shall trigger the UE Context Setup Request message towards the DU in order to finalize the AS security activation and SRB2 establishment. This should be ensured according to RRC specification. There is no reason to have limitation in the network side that SRB2 is not allowed to be established after security activation. Furthermore, there has the case for registered UE without UP data still needs to perform mobility based on measurement report after AS security activation, which is different from NB-IoT (no AS security activation for CP solution).</w:t>
      </w:r>
    </w:p>
    <w:p w14:paraId="10BE6316" w14:textId="7BA87278" w:rsidR="00B561CA" w:rsidRPr="00F56786" w:rsidRDefault="00B561CA" w:rsidP="00B561CA">
      <w:pPr>
        <w:pStyle w:val="CRCoverPage"/>
        <w:spacing w:after="0"/>
        <w:ind w:left="60"/>
        <w:rPr>
          <w:rFonts w:ascii="Times New Roman" w:hAnsi="Times New Roman"/>
        </w:rPr>
      </w:pPr>
      <w:r w:rsidRPr="00ED126F">
        <w:rPr>
          <w:rFonts w:ascii="Times New Roman" w:hAnsi="Times New Roman"/>
          <w:highlight w:val="yellow"/>
        </w:rPr>
        <w:t>Therefore,</w:t>
      </w:r>
      <w:r>
        <w:rPr>
          <w:rFonts w:ascii="Times New Roman" w:hAnsi="Times New Roman"/>
          <w:highlight w:val="yellow"/>
        </w:rPr>
        <w:t xml:space="preserve"> </w:t>
      </w:r>
      <w:r w:rsidRPr="00ED126F">
        <w:rPr>
          <w:rFonts w:ascii="Times New Roman" w:hAnsi="Times New Roman"/>
          <w:highlight w:val="yellow"/>
        </w:rPr>
        <w:t>conclusion</w:t>
      </w:r>
      <w:r>
        <w:rPr>
          <w:rFonts w:ascii="Times New Roman" w:hAnsi="Times New Roman"/>
          <w:highlight w:val="yellow"/>
        </w:rPr>
        <w:t xml:space="preserve">s </w:t>
      </w:r>
      <w:r w:rsidR="006E61E4">
        <w:rPr>
          <w:rFonts w:ascii="Times New Roman" w:hAnsi="Times New Roman"/>
          <w:highlight w:val="yellow"/>
        </w:rPr>
        <w:t xml:space="preserve">3 and 4 above </w:t>
      </w:r>
      <w:r>
        <w:rPr>
          <w:rFonts w:ascii="Times New Roman" w:hAnsi="Times New Roman"/>
          <w:highlight w:val="yellow"/>
        </w:rPr>
        <w:t>are</w:t>
      </w:r>
      <w:r w:rsidRPr="00ED126F">
        <w:rPr>
          <w:rFonts w:ascii="Times New Roman" w:hAnsi="Times New Roman"/>
          <w:highlight w:val="yellow"/>
        </w:rPr>
        <w:t xml:space="preserve"> not justified.</w:t>
      </w:r>
    </w:p>
    <w:p w14:paraId="61300D34" w14:textId="77777777" w:rsidR="00B561CA" w:rsidRDefault="00B561CA" w:rsidP="00B561CA"/>
    <w:p w14:paraId="60565D82" w14:textId="6961AE7F" w:rsidR="00B561CA" w:rsidRDefault="00B561CA" w:rsidP="00B561CA">
      <w:r>
        <w:t xml:space="preserve">As discussed in RP-180429, SA2 already supports this scenario, RAN should support this scenario </w:t>
      </w:r>
      <w:r w:rsidR="00B81D23">
        <w:rPr>
          <w:rFonts w:eastAsia="Times New Roman"/>
        </w:rPr>
        <w:t>in alignment with SA2</w:t>
      </w:r>
      <w:r>
        <w:t>.</w:t>
      </w:r>
    </w:p>
    <w:p w14:paraId="39B1C692" w14:textId="69D67C29" w:rsidR="00B561CA" w:rsidRDefault="00B561CA" w:rsidP="00B561CA"/>
    <w:p w14:paraId="64660DF4" w14:textId="63701C9F" w:rsidR="00EA1911" w:rsidRDefault="00EA1911" w:rsidP="00B561CA">
      <w:r>
        <w:t>Then we propose the following way forward.</w:t>
      </w:r>
    </w:p>
    <w:p w14:paraId="78F42514" w14:textId="22A3BDC2" w:rsidR="0066309A" w:rsidRDefault="00EA1911" w:rsidP="00E70DF3">
      <w:pPr>
        <w:rPr>
          <w:b/>
        </w:rPr>
      </w:pPr>
      <w:r w:rsidRPr="00635B6C">
        <w:rPr>
          <w:b/>
        </w:rPr>
        <w:t xml:space="preserve">Proposal: It is proposed to </w:t>
      </w:r>
      <w:r>
        <w:rPr>
          <w:b/>
        </w:rPr>
        <w:t>agree on the following way forward.</w:t>
      </w:r>
      <w:r w:rsidR="00E70DF3">
        <w:rPr>
          <w:b/>
        </w:rPr>
        <w:t xml:space="preserve"> Plenary should </w:t>
      </w:r>
      <w:r w:rsidR="0066309A">
        <w:rPr>
          <w:b/>
        </w:rPr>
        <w:t xml:space="preserve">either </w:t>
      </w:r>
    </w:p>
    <w:p w14:paraId="696DAB6C" w14:textId="77777777" w:rsidR="0066309A" w:rsidRDefault="0066309A" w:rsidP="0066309A">
      <w:pPr>
        <w:ind w:firstLine="284"/>
        <w:rPr>
          <w:b/>
        </w:rPr>
      </w:pPr>
      <w:r>
        <w:rPr>
          <w:b/>
        </w:rPr>
        <w:t xml:space="preserve">approve the CR proposal RP-180493 </w:t>
      </w:r>
    </w:p>
    <w:p w14:paraId="17727BCE" w14:textId="2F5645F9" w:rsidR="00E70DF3" w:rsidRDefault="0066309A" w:rsidP="0066309A">
      <w:pPr>
        <w:rPr>
          <w:b/>
        </w:rPr>
      </w:pPr>
      <w:r>
        <w:rPr>
          <w:b/>
        </w:rPr>
        <w:t>OR</w:t>
      </w:r>
    </w:p>
    <w:p w14:paraId="1BC71EFA" w14:textId="220C4B02" w:rsidR="0066309A" w:rsidRPr="00E70DF3" w:rsidRDefault="0066309A" w:rsidP="0066309A">
      <w:pPr>
        <w:ind w:firstLine="284"/>
        <w:rPr>
          <w:b/>
        </w:rPr>
      </w:pPr>
      <w:r>
        <w:rPr>
          <w:b/>
        </w:rPr>
        <w:t>RAN Plenary should confirm:</w:t>
      </w:r>
    </w:p>
    <w:p w14:paraId="18C4ECB4" w14:textId="575D580A" w:rsidR="00386EFB" w:rsidRPr="00386EFB" w:rsidRDefault="00386EFB" w:rsidP="00386EFB">
      <w:pPr>
        <w:numPr>
          <w:ilvl w:val="0"/>
          <w:numId w:val="17"/>
        </w:numPr>
        <w:tabs>
          <w:tab w:val="left" w:pos="220"/>
          <w:tab w:val="left" w:pos="720"/>
        </w:tabs>
        <w:autoSpaceDE w:val="0"/>
        <w:autoSpaceDN w:val="0"/>
        <w:adjustRightInd w:val="0"/>
        <w:spacing w:after="0" w:line="360" w:lineRule="atLeast"/>
        <w:ind w:hanging="720"/>
        <w:rPr>
          <w:rFonts w:ascii="Calibri" w:hAnsi="Calibri" w:cs="Calibri"/>
          <w:b/>
          <w:color w:val="000000"/>
          <w:lang w:val="en-US" w:eastAsia="en-GB"/>
        </w:rPr>
      </w:pPr>
      <w:r w:rsidRPr="00386EFB">
        <w:rPr>
          <w:rFonts w:ascii="Calibri" w:hAnsi="Calibri" w:cs="Calibri"/>
          <w:b/>
          <w:color w:val="000000"/>
          <w:lang w:val="en-US" w:eastAsia="en-GB"/>
        </w:rPr>
        <w:t>The requirement to support secured signaling only connection in Rel-15</w:t>
      </w:r>
    </w:p>
    <w:p w14:paraId="55B97C46" w14:textId="0427EBAC" w:rsidR="00386EFB" w:rsidRPr="00386EFB" w:rsidRDefault="00386EFB" w:rsidP="00386EFB">
      <w:pPr>
        <w:numPr>
          <w:ilvl w:val="0"/>
          <w:numId w:val="17"/>
        </w:numPr>
        <w:tabs>
          <w:tab w:val="left" w:pos="220"/>
          <w:tab w:val="left" w:pos="720"/>
        </w:tabs>
        <w:autoSpaceDE w:val="0"/>
        <w:autoSpaceDN w:val="0"/>
        <w:adjustRightInd w:val="0"/>
        <w:spacing w:after="0" w:line="360" w:lineRule="atLeast"/>
        <w:ind w:hanging="720"/>
        <w:rPr>
          <w:rFonts w:ascii="Calibri" w:hAnsi="Calibri" w:cs="Calibri"/>
          <w:b/>
          <w:color w:val="000000"/>
          <w:lang w:val="en-US" w:eastAsia="en-GB"/>
        </w:rPr>
      </w:pPr>
      <w:r w:rsidRPr="00386EFB">
        <w:rPr>
          <w:rFonts w:ascii="Calibri" w:hAnsi="Calibri" w:cs="Calibri"/>
          <w:b/>
          <w:color w:val="000000"/>
          <w:lang w:val="en-US" w:eastAsia="en-GB"/>
        </w:rPr>
        <w:t>Task RAN3 to decide on the solution by June plenary</w:t>
      </w:r>
    </w:p>
    <w:p w14:paraId="47E15CD3" w14:textId="5F06DB79" w:rsidR="00386EFB" w:rsidRPr="00386EFB" w:rsidRDefault="00386EFB" w:rsidP="00386EFB">
      <w:pPr>
        <w:numPr>
          <w:ilvl w:val="0"/>
          <w:numId w:val="17"/>
        </w:numPr>
        <w:tabs>
          <w:tab w:val="left" w:pos="220"/>
          <w:tab w:val="left" w:pos="720"/>
        </w:tabs>
        <w:autoSpaceDE w:val="0"/>
        <w:autoSpaceDN w:val="0"/>
        <w:adjustRightInd w:val="0"/>
        <w:spacing w:after="0" w:line="360" w:lineRule="atLeast"/>
        <w:ind w:hanging="720"/>
        <w:rPr>
          <w:rFonts w:ascii="Calibri" w:hAnsi="Calibri" w:cs="Calibri"/>
          <w:b/>
          <w:color w:val="000000"/>
          <w:lang w:val="en-US" w:eastAsia="en-GB"/>
        </w:rPr>
      </w:pPr>
      <w:r w:rsidRPr="00386EFB">
        <w:rPr>
          <w:rFonts w:ascii="Calibri" w:hAnsi="Calibri" w:cs="Calibri"/>
          <w:b/>
          <w:color w:val="000000"/>
          <w:lang w:val="en-US" w:eastAsia="en-GB"/>
        </w:rPr>
        <w:t>Explicitly allow non-backwards compatible change for this issue (i.e. backwards compatibility shall not be a criteri</w:t>
      </w:r>
      <w:r w:rsidR="006E61E4">
        <w:rPr>
          <w:rFonts w:ascii="Calibri" w:hAnsi="Calibri" w:cs="Calibri"/>
          <w:b/>
          <w:color w:val="000000"/>
          <w:lang w:val="en-US" w:eastAsia="en-GB"/>
        </w:rPr>
        <w:t>on</w:t>
      </w:r>
      <w:r w:rsidRPr="00386EFB">
        <w:rPr>
          <w:rFonts w:ascii="Calibri" w:hAnsi="Calibri" w:cs="Calibri"/>
          <w:b/>
          <w:color w:val="000000"/>
          <w:lang w:val="en-US" w:eastAsia="en-GB"/>
        </w:rPr>
        <w:t xml:space="preserve"> when selecting the best solution)</w:t>
      </w:r>
    </w:p>
    <w:p w14:paraId="41AD36F4" w14:textId="77777777" w:rsidR="00B561CA" w:rsidRPr="00386EFB" w:rsidRDefault="00B561CA" w:rsidP="00E30441">
      <w:pPr>
        <w:rPr>
          <w:b/>
          <w:lang w:val="en-US"/>
        </w:rPr>
      </w:pPr>
    </w:p>
    <w:p w14:paraId="76D4E5EC" w14:textId="6E8AAA1D" w:rsidR="00F72517" w:rsidRPr="006E13D1" w:rsidRDefault="00673F56" w:rsidP="00F72517">
      <w:pPr>
        <w:pStyle w:val="Heading1"/>
      </w:pPr>
      <w:r>
        <w:t>3</w:t>
      </w:r>
      <w:r w:rsidR="00F72517" w:rsidRPr="006E13D1">
        <w:tab/>
      </w:r>
      <w:r w:rsidR="00EA1896">
        <w:t>Proposal</w:t>
      </w:r>
    </w:p>
    <w:p w14:paraId="11EDA332" w14:textId="77777777" w:rsidR="00CA3C9B" w:rsidRDefault="00CA3C9B" w:rsidP="00CA3C9B">
      <w:pPr>
        <w:rPr>
          <w:b/>
        </w:rPr>
      </w:pPr>
      <w:r w:rsidRPr="00635B6C">
        <w:rPr>
          <w:b/>
        </w:rPr>
        <w:t xml:space="preserve">Proposal: It is proposed to </w:t>
      </w:r>
      <w:r>
        <w:rPr>
          <w:b/>
        </w:rPr>
        <w:t xml:space="preserve">agree on the following way forward. Plenary should either </w:t>
      </w:r>
    </w:p>
    <w:p w14:paraId="649A736D" w14:textId="77777777" w:rsidR="00CA3C9B" w:rsidRDefault="00CA3C9B" w:rsidP="00CA3C9B">
      <w:pPr>
        <w:ind w:firstLine="284"/>
        <w:rPr>
          <w:b/>
        </w:rPr>
      </w:pPr>
      <w:r>
        <w:rPr>
          <w:b/>
        </w:rPr>
        <w:lastRenderedPageBreak/>
        <w:t xml:space="preserve">approve the CR proposal RP-180493 </w:t>
      </w:r>
    </w:p>
    <w:p w14:paraId="144B1AA1" w14:textId="77777777" w:rsidR="00CA3C9B" w:rsidRDefault="00CA3C9B" w:rsidP="00CA3C9B">
      <w:pPr>
        <w:rPr>
          <w:b/>
        </w:rPr>
      </w:pPr>
      <w:r>
        <w:rPr>
          <w:b/>
        </w:rPr>
        <w:t>OR</w:t>
      </w:r>
    </w:p>
    <w:p w14:paraId="204959E6" w14:textId="77777777" w:rsidR="00CA3C9B" w:rsidRPr="00E70DF3" w:rsidRDefault="00CA3C9B" w:rsidP="00CA3C9B">
      <w:pPr>
        <w:ind w:firstLine="284"/>
        <w:rPr>
          <w:b/>
        </w:rPr>
      </w:pPr>
      <w:r>
        <w:rPr>
          <w:b/>
        </w:rPr>
        <w:t>RAN Plenary should confirm:</w:t>
      </w:r>
    </w:p>
    <w:p w14:paraId="390A8401" w14:textId="77777777" w:rsidR="00CA3C9B" w:rsidRPr="00386EFB" w:rsidRDefault="00CA3C9B" w:rsidP="00CA3C9B">
      <w:pPr>
        <w:numPr>
          <w:ilvl w:val="0"/>
          <w:numId w:val="17"/>
        </w:numPr>
        <w:tabs>
          <w:tab w:val="left" w:pos="220"/>
          <w:tab w:val="left" w:pos="720"/>
        </w:tabs>
        <w:autoSpaceDE w:val="0"/>
        <w:autoSpaceDN w:val="0"/>
        <w:adjustRightInd w:val="0"/>
        <w:spacing w:after="0" w:line="360" w:lineRule="atLeast"/>
        <w:ind w:hanging="720"/>
        <w:rPr>
          <w:rFonts w:ascii="Calibri" w:hAnsi="Calibri" w:cs="Calibri"/>
          <w:b/>
          <w:color w:val="000000"/>
          <w:lang w:val="en-US" w:eastAsia="en-GB"/>
        </w:rPr>
      </w:pPr>
      <w:r w:rsidRPr="00386EFB">
        <w:rPr>
          <w:rFonts w:ascii="Calibri" w:hAnsi="Calibri" w:cs="Calibri"/>
          <w:b/>
          <w:color w:val="000000"/>
          <w:lang w:val="en-US" w:eastAsia="en-GB"/>
        </w:rPr>
        <w:t>The requirement to support secured signaling only connection in Rel-15</w:t>
      </w:r>
    </w:p>
    <w:p w14:paraId="6376DDB9" w14:textId="77777777" w:rsidR="00CA3C9B" w:rsidRPr="00386EFB" w:rsidRDefault="00CA3C9B" w:rsidP="00CA3C9B">
      <w:pPr>
        <w:numPr>
          <w:ilvl w:val="0"/>
          <w:numId w:val="17"/>
        </w:numPr>
        <w:tabs>
          <w:tab w:val="left" w:pos="220"/>
          <w:tab w:val="left" w:pos="720"/>
        </w:tabs>
        <w:autoSpaceDE w:val="0"/>
        <w:autoSpaceDN w:val="0"/>
        <w:adjustRightInd w:val="0"/>
        <w:spacing w:after="0" w:line="360" w:lineRule="atLeast"/>
        <w:ind w:hanging="720"/>
        <w:rPr>
          <w:rFonts w:ascii="Calibri" w:hAnsi="Calibri" w:cs="Calibri"/>
          <w:b/>
          <w:color w:val="000000"/>
          <w:lang w:val="en-US" w:eastAsia="en-GB"/>
        </w:rPr>
      </w:pPr>
      <w:r w:rsidRPr="00386EFB">
        <w:rPr>
          <w:rFonts w:ascii="Calibri" w:hAnsi="Calibri" w:cs="Calibri"/>
          <w:b/>
          <w:color w:val="000000"/>
          <w:lang w:val="en-US" w:eastAsia="en-GB"/>
        </w:rPr>
        <w:t>Task RAN3 to decide on the solution by June plenary</w:t>
      </w:r>
    </w:p>
    <w:p w14:paraId="6224E75C" w14:textId="251E9763" w:rsidR="00CA3C9B" w:rsidRPr="00386EFB" w:rsidRDefault="00CA3C9B" w:rsidP="00CA3C9B">
      <w:pPr>
        <w:numPr>
          <w:ilvl w:val="0"/>
          <w:numId w:val="17"/>
        </w:numPr>
        <w:tabs>
          <w:tab w:val="left" w:pos="220"/>
          <w:tab w:val="left" w:pos="720"/>
        </w:tabs>
        <w:autoSpaceDE w:val="0"/>
        <w:autoSpaceDN w:val="0"/>
        <w:adjustRightInd w:val="0"/>
        <w:spacing w:after="0" w:line="360" w:lineRule="atLeast"/>
        <w:ind w:hanging="720"/>
        <w:rPr>
          <w:rFonts w:ascii="Calibri" w:hAnsi="Calibri" w:cs="Calibri"/>
          <w:b/>
          <w:color w:val="000000"/>
          <w:lang w:val="en-US" w:eastAsia="en-GB"/>
        </w:rPr>
      </w:pPr>
      <w:r w:rsidRPr="00386EFB">
        <w:rPr>
          <w:rFonts w:ascii="Calibri" w:hAnsi="Calibri" w:cs="Calibri"/>
          <w:b/>
          <w:color w:val="000000"/>
          <w:lang w:val="en-US" w:eastAsia="en-GB"/>
        </w:rPr>
        <w:t>Explicitly allow non-backwards compatible change for this issue (i.e. backwards compatibility shall not be a criteri</w:t>
      </w:r>
      <w:r w:rsidR="006E61E4">
        <w:rPr>
          <w:rFonts w:ascii="Calibri" w:hAnsi="Calibri" w:cs="Calibri"/>
          <w:b/>
          <w:color w:val="000000"/>
          <w:lang w:val="en-US" w:eastAsia="en-GB"/>
        </w:rPr>
        <w:t>on</w:t>
      </w:r>
      <w:r w:rsidRPr="00386EFB">
        <w:rPr>
          <w:rFonts w:ascii="Calibri" w:hAnsi="Calibri" w:cs="Calibri"/>
          <w:b/>
          <w:color w:val="000000"/>
          <w:lang w:val="en-US" w:eastAsia="en-GB"/>
        </w:rPr>
        <w:t xml:space="preserve"> when selecting the best solution)</w:t>
      </w:r>
    </w:p>
    <w:p w14:paraId="35B26294" w14:textId="6F483A4D" w:rsidR="00242057" w:rsidRPr="00386EFB" w:rsidRDefault="00242057" w:rsidP="00CA3C9B">
      <w:pPr>
        <w:rPr>
          <w:b/>
          <w:lang w:val="en-US"/>
        </w:rPr>
      </w:pPr>
    </w:p>
    <w:sectPr w:rsidR="00242057" w:rsidRPr="00386EF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66052" w14:textId="77777777" w:rsidR="006C55D5" w:rsidRDefault="006C55D5">
      <w:r>
        <w:separator/>
      </w:r>
    </w:p>
  </w:endnote>
  <w:endnote w:type="continuationSeparator" w:id="0">
    <w:p w14:paraId="4E4DD322" w14:textId="77777777" w:rsidR="006C55D5" w:rsidRDefault="006C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E1F1B" w14:textId="77777777" w:rsidR="006C55D5" w:rsidRDefault="006C55D5">
      <w:r>
        <w:separator/>
      </w:r>
    </w:p>
  </w:footnote>
  <w:footnote w:type="continuationSeparator" w:id="0">
    <w:p w14:paraId="3C449B49" w14:textId="77777777" w:rsidR="006C55D5" w:rsidRDefault="006C5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9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2E"/>
    <w:multiLevelType w:val="hybridMultilevel"/>
    <w:tmpl w:val="52E46082"/>
    <w:lvl w:ilvl="0" w:tplc="E7960FF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4"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3ECF3C22"/>
    <w:multiLevelType w:val="hybridMultilevel"/>
    <w:tmpl w:val="647AF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D78DA"/>
    <w:multiLevelType w:val="hybridMultilevel"/>
    <w:tmpl w:val="66A2BF44"/>
    <w:lvl w:ilvl="0" w:tplc="246C8BA2">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42794"/>
    <w:multiLevelType w:val="hybridMultilevel"/>
    <w:tmpl w:val="0E1CC590"/>
    <w:lvl w:ilvl="0" w:tplc="1A86D8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8"/>
  </w:num>
  <w:num w:numId="7">
    <w:abstractNumId w:val="6"/>
  </w:num>
  <w:num w:numId="8">
    <w:abstractNumId w:val="10"/>
  </w:num>
  <w:num w:numId="9">
    <w:abstractNumId w:val="4"/>
  </w:num>
  <w:num w:numId="10">
    <w:abstractNumId w:val="7"/>
  </w:num>
  <w:num w:numId="11">
    <w:abstractNumId w:val="1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13"/>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1324"/>
    <w:rsid w:val="000258D5"/>
    <w:rsid w:val="00027848"/>
    <w:rsid w:val="00031E12"/>
    <w:rsid w:val="00033397"/>
    <w:rsid w:val="00040095"/>
    <w:rsid w:val="00052FA5"/>
    <w:rsid w:val="000544B7"/>
    <w:rsid w:val="00061542"/>
    <w:rsid w:val="00062706"/>
    <w:rsid w:val="000640B0"/>
    <w:rsid w:val="0007242F"/>
    <w:rsid w:val="00080512"/>
    <w:rsid w:val="00083970"/>
    <w:rsid w:val="00086957"/>
    <w:rsid w:val="00087780"/>
    <w:rsid w:val="00090468"/>
    <w:rsid w:val="000A0512"/>
    <w:rsid w:val="000A1BA0"/>
    <w:rsid w:val="000A7AC8"/>
    <w:rsid w:val="000B7BCF"/>
    <w:rsid w:val="000C457B"/>
    <w:rsid w:val="000C522B"/>
    <w:rsid w:val="000D06EE"/>
    <w:rsid w:val="000D0C0F"/>
    <w:rsid w:val="000D25D8"/>
    <w:rsid w:val="000D58AB"/>
    <w:rsid w:val="000D598A"/>
    <w:rsid w:val="000D7ED8"/>
    <w:rsid w:val="000E184A"/>
    <w:rsid w:val="000E3D68"/>
    <w:rsid w:val="000E3FDC"/>
    <w:rsid w:val="000E4942"/>
    <w:rsid w:val="000E6D61"/>
    <w:rsid w:val="000F3D73"/>
    <w:rsid w:val="000F6036"/>
    <w:rsid w:val="00100C01"/>
    <w:rsid w:val="00102264"/>
    <w:rsid w:val="00102BBA"/>
    <w:rsid w:val="00105200"/>
    <w:rsid w:val="001069A6"/>
    <w:rsid w:val="00116861"/>
    <w:rsid w:val="001211DA"/>
    <w:rsid w:val="00122641"/>
    <w:rsid w:val="001260CC"/>
    <w:rsid w:val="00133CBE"/>
    <w:rsid w:val="001407E5"/>
    <w:rsid w:val="00145075"/>
    <w:rsid w:val="00147E15"/>
    <w:rsid w:val="00154CFD"/>
    <w:rsid w:val="001551AC"/>
    <w:rsid w:val="00161C05"/>
    <w:rsid w:val="001631A3"/>
    <w:rsid w:val="0016460B"/>
    <w:rsid w:val="00164937"/>
    <w:rsid w:val="00172936"/>
    <w:rsid w:val="001741A0"/>
    <w:rsid w:val="00175615"/>
    <w:rsid w:val="00180737"/>
    <w:rsid w:val="00184EFE"/>
    <w:rsid w:val="00192EBE"/>
    <w:rsid w:val="00193C72"/>
    <w:rsid w:val="00194CD0"/>
    <w:rsid w:val="00197BBA"/>
    <w:rsid w:val="001A4A63"/>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40994"/>
    <w:rsid w:val="00242057"/>
    <w:rsid w:val="00272DB6"/>
    <w:rsid w:val="002747EC"/>
    <w:rsid w:val="00277561"/>
    <w:rsid w:val="002837AC"/>
    <w:rsid w:val="002855BF"/>
    <w:rsid w:val="002936B6"/>
    <w:rsid w:val="00294DF6"/>
    <w:rsid w:val="002A6423"/>
    <w:rsid w:val="002B0B54"/>
    <w:rsid w:val="002B5023"/>
    <w:rsid w:val="002B70F2"/>
    <w:rsid w:val="002D0D45"/>
    <w:rsid w:val="002D78D2"/>
    <w:rsid w:val="002E03D2"/>
    <w:rsid w:val="002E4B80"/>
    <w:rsid w:val="002E5A10"/>
    <w:rsid w:val="002E5D5D"/>
    <w:rsid w:val="002F0D22"/>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2A0D"/>
    <w:rsid w:val="003544E0"/>
    <w:rsid w:val="0035462D"/>
    <w:rsid w:val="00356754"/>
    <w:rsid w:val="00360511"/>
    <w:rsid w:val="00370ABF"/>
    <w:rsid w:val="00371D1E"/>
    <w:rsid w:val="00372F3C"/>
    <w:rsid w:val="0037601F"/>
    <w:rsid w:val="0038109C"/>
    <w:rsid w:val="003846AD"/>
    <w:rsid w:val="00385730"/>
    <w:rsid w:val="00386EFB"/>
    <w:rsid w:val="00392827"/>
    <w:rsid w:val="003A1266"/>
    <w:rsid w:val="003A7BF5"/>
    <w:rsid w:val="003B37AD"/>
    <w:rsid w:val="003B40AD"/>
    <w:rsid w:val="003B76F7"/>
    <w:rsid w:val="003C4E37"/>
    <w:rsid w:val="003D4A02"/>
    <w:rsid w:val="003E16BE"/>
    <w:rsid w:val="00401855"/>
    <w:rsid w:val="00405F25"/>
    <w:rsid w:val="0040753A"/>
    <w:rsid w:val="00416367"/>
    <w:rsid w:val="0043154A"/>
    <w:rsid w:val="00437390"/>
    <w:rsid w:val="004525D5"/>
    <w:rsid w:val="00453BF0"/>
    <w:rsid w:val="00470EAA"/>
    <w:rsid w:val="0047586E"/>
    <w:rsid w:val="0047734D"/>
    <w:rsid w:val="00477455"/>
    <w:rsid w:val="0048078E"/>
    <w:rsid w:val="00483695"/>
    <w:rsid w:val="0048581F"/>
    <w:rsid w:val="0049117F"/>
    <w:rsid w:val="0049181B"/>
    <w:rsid w:val="00495A0D"/>
    <w:rsid w:val="004A111B"/>
    <w:rsid w:val="004B51D1"/>
    <w:rsid w:val="004B70C5"/>
    <w:rsid w:val="004C0A79"/>
    <w:rsid w:val="004C2DD6"/>
    <w:rsid w:val="004C3A86"/>
    <w:rsid w:val="004C3DFF"/>
    <w:rsid w:val="004C56FA"/>
    <w:rsid w:val="004C60D3"/>
    <w:rsid w:val="004C664E"/>
    <w:rsid w:val="004D3578"/>
    <w:rsid w:val="004D380D"/>
    <w:rsid w:val="004D403A"/>
    <w:rsid w:val="004E213A"/>
    <w:rsid w:val="004F054A"/>
    <w:rsid w:val="0050162D"/>
    <w:rsid w:val="00501F8D"/>
    <w:rsid w:val="005030FF"/>
    <w:rsid w:val="00503171"/>
    <w:rsid w:val="00506C28"/>
    <w:rsid w:val="00527DF5"/>
    <w:rsid w:val="0053488C"/>
    <w:rsid w:val="00534DA0"/>
    <w:rsid w:val="005353EE"/>
    <w:rsid w:val="00535693"/>
    <w:rsid w:val="00541834"/>
    <w:rsid w:val="00543E6C"/>
    <w:rsid w:val="005445B3"/>
    <w:rsid w:val="0054492D"/>
    <w:rsid w:val="00550947"/>
    <w:rsid w:val="00550FF4"/>
    <w:rsid w:val="0055115E"/>
    <w:rsid w:val="005514F2"/>
    <w:rsid w:val="005548CD"/>
    <w:rsid w:val="0056195C"/>
    <w:rsid w:val="00565087"/>
    <w:rsid w:val="00565546"/>
    <w:rsid w:val="0056573F"/>
    <w:rsid w:val="00570BAB"/>
    <w:rsid w:val="00572BD0"/>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35B6C"/>
    <w:rsid w:val="006410B9"/>
    <w:rsid w:val="00641DC8"/>
    <w:rsid w:val="00644AED"/>
    <w:rsid w:val="00646D99"/>
    <w:rsid w:val="006472DD"/>
    <w:rsid w:val="00655E0C"/>
    <w:rsid w:val="00656910"/>
    <w:rsid w:val="0066309A"/>
    <w:rsid w:val="00666214"/>
    <w:rsid w:val="00672B49"/>
    <w:rsid w:val="00673F56"/>
    <w:rsid w:val="006766E7"/>
    <w:rsid w:val="006865B1"/>
    <w:rsid w:val="006A3F36"/>
    <w:rsid w:val="006A63D2"/>
    <w:rsid w:val="006C55D5"/>
    <w:rsid w:val="006C5920"/>
    <w:rsid w:val="006C66D8"/>
    <w:rsid w:val="006D1E24"/>
    <w:rsid w:val="006D22AF"/>
    <w:rsid w:val="006D6543"/>
    <w:rsid w:val="006E1417"/>
    <w:rsid w:val="006E61E4"/>
    <w:rsid w:val="006F1DFC"/>
    <w:rsid w:val="006F6A2C"/>
    <w:rsid w:val="00714A5D"/>
    <w:rsid w:val="007173E9"/>
    <w:rsid w:val="007206F6"/>
    <w:rsid w:val="0072563C"/>
    <w:rsid w:val="0072664E"/>
    <w:rsid w:val="007268EF"/>
    <w:rsid w:val="00732349"/>
    <w:rsid w:val="00734A5B"/>
    <w:rsid w:val="0073751F"/>
    <w:rsid w:val="00741E59"/>
    <w:rsid w:val="00744E76"/>
    <w:rsid w:val="007468EC"/>
    <w:rsid w:val="00757D40"/>
    <w:rsid w:val="00760F85"/>
    <w:rsid w:val="00764638"/>
    <w:rsid w:val="00781F0F"/>
    <w:rsid w:val="00782770"/>
    <w:rsid w:val="0078727C"/>
    <w:rsid w:val="00787B28"/>
    <w:rsid w:val="007903F6"/>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06D6B"/>
    <w:rsid w:val="00813245"/>
    <w:rsid w:val="00817228"/>
    <w:rsid w:val="00830079"/>
    <w:rsid w:val="008310EA"/>
    <w:rsid w:val="00840C17"/>
    <w:rsid w:val="00841276"/>
    <w:rsid w:val="0084415C"/>
    <w:rsid w:val="00844D47"/>
    <w:rsid w:val="00844F0E"/>
    <w:rsid w:val="00851075"/>
    <w:rsid w:val="008626D7"/>
    <w:rsid w:val="00862BA2"/>
    <w:rsid w:val="00866047"/>
    <w:rsid w:val="008768CA"/>
    <w:rsid w:val="00877EF9"/>
    <w:rsid w:val="00880559"/>
    <w:rsid w:val="008807D5"/>
    <w:rsid w:val="0088209C"/>
    <w:rsid w:val="00886910"/>
    <w:rsid w:val="008A05B2"/>
    <w:rsid w:val="008A0841"/>
    <w:rsid w:val="008A1DA5"/>
    <w:rsid w:val="008A24BC"/>
    <w:rsid w:val="008B1C8D"/>
    <w:rsid w:val="008B5306"/>
    <w:rsid w:val="008C4DAE"/>
    <w:rsid w:val="008D2FB4"/>
    <w:rsid w:val="008E4A5A"/>
    <w:rsid w:val="0090271F"/>
    <w:rsid w:val="00902DB9"/>
    <w:rsid w:val="0090466A"/>
    <w:rsid w:val="009071A7"/>
    <w:rsid w:val="009107EA"/>
    <w:rsid w:val="009132BF"/>
    <w:rsid w:val="009164FB"/>
    <w:rsid w:val="00923C4C"/>
    <w:rsid w:val="009272D6"/>
    <w:rsid w:val="00934879"/>
    <w:rsid w:val="00936071"/>
    <w:rsid w:val="009379C0"/>
    <w:rsid w:val="00940212"/>
    <w:rsid w:val="00942EC2"/>
    <w:rsid w:val="009456F9"/>
    <w:rsid w:val="00946D4C"/>
    <w:rsid w:val="00953095"/>
    <w:rsid w:val="009550EB"/>
    <w:rsid w:val="00955539"/>
    <w:rsid w:val="00961B32"/>
    <w:rsid w:val="00971551"/>
    <w:rsid w:val="00973F77"/>
    <w:rsid w:val="00974BB0"/>
    <w:rsid w:val="0097507F"/>
    <w:rsid w:val="00977931"/>
    <w:rsid w:val="00987ADE"/>
    <w:rsid w:val="00990CFF"/>
    <w:rsid w:val="00992903"/>
    <w:rsid w:val="009A0AF3"/>
    <w:rsid w:val="009A1189"/>
    <w:rsid w:val="009A2106"/>
    <w:rsid w:val="009A51BA"/>
    <w:rsid w:val="009B07CD"/>
    <w:rsid w:val="009B264C"/>
    <w:rsid w:val="009C19E9"/>
    <w:rsid w:val="009C4BCB"/>
    <w:rsid w:val="009D2D35"/>
    <w:rsid w:val="009D34E9"/>
    <w:rsid w:val="009E3888"/>
    <w:rsid w:val="009F17D1"/>
    <w:rsid w:val="00A05607"/>
    <w:rsid w:val="00A07221"/>
    <w:rsid w:val="00A07F6A"/>
    <w:rsid w:val="00A10F02"/>
    <w:rsid w:val="00A122BD"/>
    <w:rsid w:val="00A13E10"/>
    <w:rsid w:val="00A14AFD"/>
    <w:rsid w:val="00A204CA"/>
    <w:rsid w:val="00A211B6"/>
    <w:rsid w:val="00A23607"/>
    <w:rsid w:val="00A237EB"/>
    <w:rsid w:val="00A25676"/>
    <w:rsid w:val="00A26FB0"/>
    <w:rsid w:val="00A53724"/>
    <w:rsid w:val="00A60445"/>
    <w:rsid w:val="00A64968"/>
    <w:rsid w:val="00A82346"/>
    <w:rsid w:val="00A83145"/>
    <w:rsid w:val="00A831E3"/>
    <w:rsid w:val="00A8774F"/>
    <w:rsid w:val="00A9671C"/>
    <w:rsid w:val="00AA1553"/>
    <w:rsid w:val="00AA2568"/>
    <w:rsid w:val="00AB6329"/>
    <w:rsid w:val="00AE59AD"/>
    <w:rsid w:val="00AE6721"/>
    <w:rsid w:val="00AE6F06"/>
    <w:rsid w:val="00AE7243"/>
    <w:rsid w:val="00AE7322"/>
    <w:rsid w:val="00AF13C2"/>
    <w:rsid w:val="00B0277A"/>
    <w:rsid w:val="00B11F3A"/>
    <w:rsid w:val="00B14FFD"/>
    <w:rsid w:val="00B15449"/>
    <w:rsid w:val="00B30333"/>
    <w:rsid w:val="00B47FD1"/>
    <w:rsid w:val="00B516BB"/>
    <w:rsid w:val="00B561CA"/>
    <w:rsid w:val="00B612B3"/>
    <w:rsid w:val="00B63D40"/>
    <w:rsid w:val="00B6505B"/>
    <w:rsid w:val="00B72829"/>
    <w:rsid w:val="00B77CBC"/>
    <w:rsid w:val="00B81D23"/>
    <w:rsid w:val="00B84170"/>
    <w:rsid w:val="00B84659"/>
    <w:rsid w:val="00B92412"/>
    <w:rsid w:val="00B9522A"/>
    <w:rsid w:val="00B959CE"/>
    <w:rsid w:val="00B95CF8"/>
    <w:rsid w:val="00BA12F0"/>
    <w:rsid w:val="00BA5931"/>
    <w:rsid w:val="00BC4371"/>
    <w:rsid w:val="00BC5971"/>
    <w:rsid w:val="00BD703C"/>
    <w:rsid w:val="00BE0812"/>
    <w:rsid w:val="00BE0CC3"/>
    <w:rsid w:val="00BE0FE1"/>
    <w:rsid w:val="00BE63DD"/>
    <w:rsid w:val="00BE7E84"/>
    <w:rsid w:val="00C01C3D"/>
    <w:rsid w:val="00C07F97"/>
    <w:rsid w:val="00C1110C"/>
    <w:rsid w:val="00C12B51"/>
    <w:rsid w:val="00C14363"/>
    <w:rsid w:val="00C20BC3"/>
    <w:rsid w:val="00C2306F"/>
    <w:rsid w:val="00C24650"/>
    <w:rsid w:val="00C33079"/>
    <w:rsid w:val="00C40E85"/>
    <w:rsid w:val="00C46AAD"/>
    <w:rsid w:val="00C5715D"/>
    <w:rsid w:val="00C7331A"/>
    <w:rsid w:val="00C74347"/>
    <w:rsid w:val="00C83A13"/>
    <w:rsid w:val="00C90B1A"/>
    <w:rsid w:val="00C92967"/>
    <w:rsid w:val="00C92A50"/>
    <w:rsid w:val="00C92C57"/>
    <w:rsid w:val="00CA1927"/>
    <w:rsid w:val="00CA3C9B"/>
    <w:rsid w:val="00CA3D0C"/>
    <w:rsid w:val="00CA654B"/>
    <w:rsid w:val="00CB0EAB"/>
    <w:rsid w:val="00CB4F59"/>
    <w:rsid w:val="00CC15C7"/>
    <w:rsid w:val="00CC3976"/>
    <w:rsid w:val="00CC6E7E"/>
    <w:rsid w:val="00CD4C7B"/>
    <w:rsid w:val="00CE4900"/>
    <w:rsid w:val="00CF0AAE"/>
    <w:rsid w:val="00CF0C19"/>
    <w:rsid w:val="00CF280C"/>
    <w:rsid w:val="00CF375B"/>
    <w:rsid w:val="00CF3CF9"/>
    <w:rsid w:val="00CF54F8"/>
    <w:rsid w:val="00D00565"/>
    <w:rsid w:val="00D006C7"/>
    <w:rsid w:val="00D00F84"/>
    <w:rsid w:val="00D03A65"/>
    <w:rsid w:val="00D053B3"/>
    <w:rsid w:val="00D13AC5"/>
    <w:rsid w:val="00D148BD"/>
    <w:rsid w:val="00D1553B"/>
    <w:rsid w:val="00D40CE2"/>
    <w:rsid w:val="00D44ECE"/>
    <w:rsid w:val="00D52452"/>
    <w:rsid w:val="00D527D8"/>
    <w:rsid w:val="00D60380"/>
    <w:rsid w:val="00D661A8"/>
    <w:rsid w:val="00D67B5B"/>
    <w:rsid w:val="00D71EAE"/>
    <w:rsid w:val="00D738D6"/>
    <w:rsid w:val="00D80117"/>
    <w:rsid w:val="00D80795"/>
    <w:rsid w:val="00D87E00"/>
    <w:rsid w:val="00D9134D"/>
    <w:rsid w:val="00D96294"/>
    <w:rsid w:val="00D96D11"/>
    <w:rsid w:val="00DA1256"/>
    <w:rsid w:val="00DA7A03"/>
    <w:rsid w:val="00DB0149"/>
    <w:rsid w:val="00DB1818"/>
    <w:rsid w:val="00DB6619"/>
    <w:rsid w:val="00DC309B"/>
    <w:rsid w:val="00DC4DA2"/>
    <w:rsid w:val="00DD5A25"/>
    <w:rsid w:val="00DE27BE"/>
    <w:rsid w:val="00DE5059"/>
    <w:rsid w:val="00E06A7A"/>
    <w:rsid w:val="00E1316A"/>
    <w:rsid w:val="00E13300"/>
    <w:rsid w:val="00E20732"/>
    <w:rsid w:val="00E27376"/>
    <w:rsid w:val="00E30441"/>
    <w:rsid w:val="00E3179A"/>
    <w:rsid w:val="00E32C08"/>
    <w:rsid w:val="00E3405F"/>
    <w:rsid w:val="00E40221"/>
    <w:rsid w:val="00E40D0C"/>
    <w:rsid w:val="00E42D76"/>
    <w:rsid w:val="00E43BA9"/>
    <w:rsid w:val="00E51E45"/>
    <w:rsid w:val="00E51FB1"/>
    <w:rsid w:val="00E53651"/>
    <w:rsid w:val="00E53976"/>
    <w:rsid w:val="00E55243"/>
    <w:rsid w:val="00E57E0A"/>
    <w:rsid w:val="00E61BF3"/>
    <w:rsid w:val="00E62835"/>
    <w:rsid w:val="00E66615"/>
    <w:rsid w:val="00E70DF3"/>
    <w:rsid w:val="00E76F01"/>
    <w:rsid w:val="00E77645"/>
    <w:rsid w:val="00E80FE2"/>
    <w:rsid w:val="00E832C8"/>
    <w:rsid w:val="00E83697"/>
    <w:rsid w:val="00E839C8"/>
    <w:rsid w:val="00E87B43"/>
    <w:rsid w:val="00EA1896"/>
    <w:rsid w:val="00EA1911"/>
    <w:rsid w:val="00EA4BF6"/>
    <w:rsid w:val="00EA51F3"/>
    <w:rsid w:val="00EB0124"/>
    <w:rsid w:val="00EB14A6"/>
    <w:rsid w:val="00EB2D57"/>
    <w:rsid w:val="00EB4713"/>
    <w:rsid w:val="00EB59E1"/>
    <w:rsid w:val="00EC05E7"/>
    <w:rsid w:val="00EC4A25"/>
    <w:rsid w:val="00ED126F"/>
    <w:rsid w:val="00ED6196"/>
    <w:rsid w:val="00EE6E55"/>
    <w:rsid w:val="00EE6EC8"/>
    <w:rsid w:val="00EF25D0"/>
    <w:rsid w:val="00EF4A5E"/>
    <w:rsid w:val="00F025A2"/>
    <w:rsid w:val="00F0527D"/>
    <w:rsid w:val="00F0561B"/>
    <w:rsid w:val="00F07388"/>
    <w:rsid w:val="00F1046E"/>
    <w:rsid w:val="00F16867"/>
    <w:rsid w:val="00F2026E"/>
    <w:rsid w:val="00F20D77"/>
    <w:rsid w:val="00F2210A"/>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B5471"/>
    <w:rsid w:val="00FC1192"/>
    <w:rsid w:val="00FC3C02"/>
    <w:rsid w:val="00FC5B06"/>
    <w:rsid w:val="00FC5BE8"/>
    <w:rsid w:val="00FC6922"/>
    <w:rsid w:val="00FD0A11"/>
    <w:rsid w:val="00FD0D32"/>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2929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6EF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basedOn w:val="DefaultParagraphFont"/>
    <w:locked/>
    <w:rsid w:val="002E5A10"/>
  </w:style>
  <w:style w:type="character" w:customStyle="1" w:styleId="CRCoverPageZchn">
    <w:name w:val="CR Cover Page Zchn"/>
    <w:link w:val="CRCoverPage"/>
    <w:locked/>
    <w:rsid w:val="0002132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47720">
      <w:bodyDiv w:val="1"/>
      <w:marLeft w:val="0"/>
      <w:marRight w:val="0"/>
      <w:marTop w:val="0"/>
      <w:marBottom w:val="0"/>
      <w:divBdr>
        <w:top w:val="none" w:sz="0" w:space="0" w:color="auto"/>
        <w:left w:val="none" w:sz="0" w:space="0" w:color="auto"/>
        <w:bottom w:val="none" w:sz="0" w:space="0" w:color="auto"/>
        <w:right w:val="none" w:sz="0" w:space="0" w:color="auto"/>
      </w:divBdr>
    </w:div>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032145155">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46689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WG3_Security/ADHOCs/TSG_S3_LTE_redirection_emeeting/Docs/S3c00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Willcock, Colin (Nokia - DE/Munich)</cp:lastModifiedBy>
  <cp:revision>3</cp:revision>
  <cp:lastPrinted>2017-03-17T12:10:00Z</cp:lastPrinted>
  <dcterms:created xsi:type="dcterms:W3CDTF">2018-03-21T04:10:00Z</dcterms:created>
  <dcterms:modified xsi:type="dcterms:W3CDTF">2018-03-21T04:10:00Z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